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5-</w:t>
      </w:r>
      <w:r>
        <w:rPr>
          <w:rFonts w:ascii="Times New Roman" w:eastAsia="Times New Roman" w:hAnsi="Times New Roman" w:cs="Times New Roman"/>
          <w:sz w:val="26"/>
          <w:szCs w:val="26"/>
        </w:rPr>
        <w:t>823</w:t>
      </w:r>
      <w:r>
        <w:rPr>
          <w:rFonts w:ascii="Times New Roman" w:eastAsia="Times New Roman" w:hAnsi="Times New Roman" w:cs="Times New Roman"/>
          <w:sz w:val="26"/>
          <w:szCs w:val="26"/>
        </w:rPr>
        <w:t>-2610/202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firstLine="567"/>
        <w:jc w:val="right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 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205, рассмотрев 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Калёновой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Полины Владимировны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42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15.33</w:t>
      </w:r>
      <w:r>
        <w:rPr>
          <w:rFonts w:ascii="Times New Roman" w:eastAsia="Times New Roman" w:hAnsi="Times New Roman" w:cs="Times New Roman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установил: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исходя из протокола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2484</w:t>
      </w:r>
      <w:r>
        <w:rPr>
          <w:rFonts w:ascii="Times New Roman" w:eastAsia="Times New Roman" w:hAnsi="Times New Roman" w:cs="Times New Roman"/>
          <w:sz w:val="28"/>
          <w:szCs w:val="28"/>
        </w:rPr>
        <w:t>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18.05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года, </w:t>
      </w:r>
      <w:r>
        <w:rPr>
          <w:rStyle w:val="cat-UserDefinedgrp-43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телекоммуникационным каналам связи </w:t>
      </w:r>
      <w:r>
        <w:rPr>
          <w:rFonts w:ascii="Times New Roman" w:eastAsia="Times New Roman" w:hAnsi="Times New Roman" w:cs="Times New Roman"/>
          <w:sz w:val="28"/>
          <w:szCs w:val="28"/>
        </w:rPr>
        <w:t>06.04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представлены сведения о застрахованных лицах по форме ЕФС-1, ГПД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бращение № ЕФС-</w:t>
      </w:r>
      <w:r>
        <w:rPr>
          <w:rStyle w:val="cat-UserDefinedgrp-44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Согласно п. 6 ст. 11 Федерального закона от 01.04.1996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27-ФЗ «Об индивидуальном (персонифицированном) учете в системах обязательного пенсионного страхования и обязательного социального страхования» форма ЕФС-1, раздел 1, подраздел 1.1 представляется страхователем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вышеуказанной статьи, понятие «период, за который должен быть представлен отчет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отсутствует.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застрахованн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выявлено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10055" w:type="dxa"/>
        <w:tblInd w:w="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58"/>
        <w:gridCol w:w="1742"/>
        <w:gridCol w:w="1900"/>
        <w:gridCol w:w="2053"/>
        <w:gridCol w:w="3772"/>
      </w:tblGrid>
      <w:tr>
        <w:tblPrEx>
          <w:tblW w:w="10055" w:type="dxa"/>
          <w:tblInd w:w="2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2"/>
        </w:trPr>
        <w:tc>
          <w:tcPr>
            <w:tcW w:w="542" w:type="dxa"/>
            <w:tcBorders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86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№ </w:t>
            </w:r>
          </w:p>
        </w:tc>
        <w:tc>
          <w:tcPr>
            <w:tcW w:w="174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432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снилс</w:t>
            </w:r>
          </w:p>
        </w:tc>
        <w:tc>
          <w:tcPr>
            <w:tcW w:w="19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63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Код КМ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ДГПХ </w:t>
            </w:r>
          </w:p>
        </w:tc>
        <w:tc>
          <w:tcPr>
            <w:tcW w:w="203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 w:line="240" w:lineRule="atLeast"/>
              <w:ind w:right="29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Дата (начала/ </w:t>
            </w:r>
          </w:p>
          <w:p>
            <w:pPr>
              <w:widowControl w:val="0"/>
              <w:spacing w:before="0" w:after="0" w:line="240" w:lineRule="atLeast"/>
              <w:ind w:left="34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окончания)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договора </w:t>
            </w:r>
          </w:p>
          <w:p>
            <w:pPr>
              <w:widowControl w:val="0"/>
              <w:spacing w:before="0" w:after="0" w:line="310" w:lineRule="atLeast"/>
              <w:ind w:right="29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31"/>
                <w:szCs w:val="31"/>
              </w:rPr>
              <w:t>гпх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31"/>
                <w:szCs w:val="31"/>
              </w:rPr>
              <w:t xml:space="preserve"> </w:t>
            </w:r>
          </w:p>
        </w:tc>
        <w:tc>
          <w:tcPr>
            <w:tcW w:w="3828" w:type="dxa"/>
            <w:tcBorders>
              <w:lef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101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Дата и время совершения 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542" w:type="dxa"/>
            <w:tcBorders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86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п/п </w:t>
            </w:r>
          </w:p>
        </w:tc>
        <w:tc>
          <w:tcPr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  <w:tc>
          <w:tcPr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  <w:tc>
          <w:tcPr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  <w:tc>
          <w:tcPr>
            <w:tcW w:w="3828" w:type="dxa"/>
            <w:tcBorders>
              <w:left w:val="single" w:sz="6" w:space="0" w:color="000000"/>
            </w:tcBorders>
            <w:noWrap w:val="0"/>
            <w:tcMar>
              <w:top w:w="5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101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правонарушения 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6"/>
        </w:trPr>
        <w:tc>
          <w:tcPr>
            <w:tcW w:w="542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3828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31"/>
                <w:szCs w:val="31"/>
              </w:rPr>
            </w:pP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542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254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1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106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UserDefinedgrp-45rplc-22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...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49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Окончание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ГПХ 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30.06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.202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02.07.2025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в 00 час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01 мин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6"/>
        </w:trPr>
        <w:tc>
          <w:tcPr>
            <w:tcW w:w="542" w:type="dxa"/>
            <w:tcBorders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743" w:type="dxa"/>
            <w:tcBorders>
              <w:left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905" w:type="dxa"/>
            <w:tcBorders>
              <w:left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  <w:tc>
          <w:tcPr>
            <w:tcW w:w="2037" w:type="dxa"/>
            <w:tcBorders>
              <w:left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  <w:tc>
          <w:tcPr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</w:tr>
    </w:tbl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ЧПОУ СКП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нарушены установленные Федеральным законом от 01.04.1996 № 27-ФЗ сроки представления в органы Социального фонда Российской Федерации сведений по форме ЕФС- 1, раздел 1, подраздел 1.1, за что предусмотрена ответственность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ст. 15.33.2 КоАП.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рассмотрении дела об административном правонарушении привлекаем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>, будучи извещенн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времени и месте судебного разбирательства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(п. 6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остановления Пленума ВС РФ от 24.03.2005 г. № 5),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присутствовал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ходатайств об отложении судебного заседания не заявлял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При таких обстоятельствах и на основании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мировой судья приходит к следующему.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Калёновой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инкриминируемого административного правонарушения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484</w:t>
      </w:r>
      <w:r>
        <w:rPr>
          <w:rFonts w:ascii="Times New Roman" w:eastAsia="Times New Roman" w:hAnsi="Times New Roman" w:cs="Times New Roman"/>
          <w:sz w:val="28"/>
          <w:szCs w:val="28"/>
        </w:rPr>
        <w:t>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18.05.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копией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писка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внутренних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почтовых отправлений от </w:t>
      </w:r>
      <w:r>
        <w:rPr>
          <w:rFonts w:ascii="Times New Roman" w:eastAsia="Times New Roman" w:hAnsi="Times New Roman" w:cs="Times New Roman"/>
          <w:sz w:val="28"/>
          <w:szCs w:val="28"/>
        </w:rPr>
        <w:t>19.05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.2026 года;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уведомлением о </w:t>
      </w:r>
      <w:r>
        <w:rPr>
          <w:rFonts w:ascii="Times New Roman" w:eastAsia="Times New Roman" w:hAnsi="Times New Roman" w:cs="Times New Roman"/>
          <w:sz w:val="28"/>
          <w:szCs w:val="28"/>
        </w:rPr>
        <w:t>составлении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.04.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2</w:t>
      </w:r>
      <w:r>
        <w:rPr>
          <w:rFonts w:ascii="Times New Roman" w:eastAsia="Times New Roman" w:hAnsi="Times New Roman" w:cs="Times New Roman"/>
          <w:sz w:val="28"/>
          <w:szCs w:val="28"/>
        </w:rPr>
        <w:t>484</w:t>
      </w:r>
      <w:r>
        <w:rPr>
          <w:rFonts w:ascii="Times New Roman" w:eastAsia="Times New Roman" w:hAnsi="Times New Roman" w:cs="Times New Roman"/>
          <w:sz w:val="28"/>
          <w:szCs w:val="28"/>
        </w:rPr>
        <w:t>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телефонограммой-уведомлением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.04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информацией по страхователю; </w:t>
      </w:r>
      <w:r>
        <w:rPr>
          <w:rFonts w:ascii="Times New Roman" w:eastAsia="Times New Roman" w:hAnsi="Times New Roman" w:cs="Times New Roman"/>
          <w:sz w:val="28"/>
          <w:szCs w:val="28"/>
        </w:rPr>
        <w:t>актом о выявлении правонарушения в сфере законодательства РФ об индивидуальном (персонифицированном) учете в системах обязательного пенсионного страхования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обязательного социального страхования от </w:t>
      </w:r>
      <w:r>
        <w:rPr>
          <w:rFonts w:ascii="Times New Roman" w:eastAsia="Times New Roman" w:hAnsi="Times New Roman" w:cs="Times New Roman"/>
          <w:sz w:val="28"/>
          <w:szCs w:val="28"/>
        </w:rPr>
        <w:t>14.04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027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18260002</w:t>
      </w:r>
      <w:r>
        <w:rPr>
          <w:rFonts w:ascii="Times New Roman" w:eastAsia="Times New Roman" w:hAnsi="Times New Roman" w:cs="Times New Roman"/>
          <w:sz w:val="28"/>
          <w:szCs w:val="28"/>
        </w:rPr>
        <w:t>484</w:t>
      </w:r>
      <w:r>
        <w:rPr>
          <w:rFonts w:ascii="Times New Roman" w:eastAsia="Times New Roman" w:hAnsi="Times New Roman" w:cs="Times New Roman"/>
          <w:sz w:val="28"/>
          <w:szCs w:val="28"/>
        </w:rPr>
        <w:t>; расчетом финансовой санкции;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обращением ЕФС-</w:t>
      </w:r>
      <w:r>
        <w:rPr>
          <w:rStyle w:val="cat-UserDefinedgrp-44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Единой формой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(ЕФС-1);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протоколом проверки отчетности;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копией выписки из ЕГРЮЛ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ышеизложенные доказательства в своей совокупности относимы, допустимы, достоверны и свидетельствуют о 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Калёновой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П.В. </w:t>
      </w:r>
      <w:r>
        <w:rPr>
          <w:rFonts w:ascii="Times New Roman" w:eastAsia="Times New Roman" w:hAnsi="Times New Roman" w:cs="Times New Roman"/>
          <w:sz w:val="28"/>
          <w:szCs w:val="28"/>
        </w:rPr>
        <w:t>в инкриминируемом административном правонарушении.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мировой судья квалифицирует по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15.33</w:t>
      </w:r>
      <w:r>
        <w:rPr>
          <w:rFonts w:ascii="Times New Roman" w:eastAsia="Times New Roman" w:hAnsi="Times New Roman" w:cs="Times New Roman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</w:t>
      </w:r>
      <w:r>
        <w:rPr>
          <w:rFonts w:ascii="Times New Roman" w:eastAsia="Times New Roman" w:hAnsi="Times New Roman" w:cs="Times New Roman"/>
          <w:sz w:val="28"/>
          <w:szCs w:val="28"/>
        </w:rPr>
        <w:t>названной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исключающих производство по делу об административном правонарушении и возможность рассмотрения дела об административном правонарушении, не имеется. Обстоятельств,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смягчающих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отягчающих административную ответственность, судом не выявлено.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Принимая во внимание характер и степень общественной опасности совершенного административного правонарушения, объектом которого являются общественные отношения в сфере обязательного пенсионного и социального страхования, обстоятельства его совершения, отсутствие смягчающих и отягчающих административную ответственность обстоятельств и, руководствуясь принципами справедливости, разумности, соразмерности наказания совершенному деянию, учитывая влияние наказания на исправление лица, привлекаемого к административной ответственности, в целях предупреждения совершения новых правонарушений, мировой судья приходит к выводу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Калёнов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П.В. </w:t>
      </w:r>
      <w:r>
        <w:rPr>
          <w:rFonts w:ascii="Times New Roman" w:eastAsia="Times New Roman" w:hAnsi="Times New Roman" w:cs="Times New Roman"/>
          <w:sz w:val="28"/>
          <w:szCs w:val="28"/>
        </w:rPr>
        <w:t>следует назначить наказание в виде административного штрафа в минимальной размере, предусмотренном санкцией статьи. Исходя из оценки конкретных обстоятельств по настоящему делу, обстоятельств, свидетельствующих о малозначительности совершенного административного правонарушения, не усматривается.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29.10, 29.11 </w:t>
      </w:r>
      <w:r>
        <w:rPr>
          <w:rFonts w:ascii="Times New Roman" w:eastAsia="Times New Roman" w:hAnsi="Times New Roman" w:cs="Times New Roman"/>
          <w:sz w:val="28"/>
          <w:szCs w:val="28"/>
        </w:rPr>
        <w:t>КоАП РФ,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Калёнову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Полину Владимировну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15.33.2 КоАП РФ и подвергнуть наказанию в виде штрафа в размере </w:t>
      </w:r>
      <w:r>
        <w:rPr>
          <w:rStyle w:val="cat-Sumgrp-27rplc-4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подлежит зачислению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следующим реквизитам: банк получателя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ОЦК № 8 Уральского ГУ Банка России</w:t>
      </w:r>
      <w:r>
        <w:rPr>
          <w:rFonts w:ascii="Times New Roman" w:eastAsia="Times New Roman" w:hAnsi="Times New Roman" w:cs="Times New Roman"/>
          <w:sz w:val="28"/>
          <w:szCs w:val="28"/>
        </w:rPr>
        <w:t>//УФК по Ханты-Мансийскому автономному округу - Югре г. Ханты-Мансийск; получатель - УФК по Ханты-Мансийскому автономному округу - Югре (ОСФР по ХМАО - Югре, л/с 04874Ф87010), номер счета банка получателя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(номер банковского счета, входящего в состав единого казначейского счета, Кор/счет) – 40102810245370000007, ИНН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8601002078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860101001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БИК - ТОФК – 007162163, ОКТМО - 71876000 (город Сургут), 71826000 (Сургутский р-н), счет получателя платежа (номер казначейского счета, р/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.) – 03100643000000018700, КБК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79711601230060001140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79702700000000420033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Неуплата административного штрафа в установленный законом срок влечет административную ответственность по ч. 1 ст. 20.25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по адресу: г. Сургут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105.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городской суд путем подачи жалобы через мирового судью судебного участка № 10 Сургутского судебного района города окружного значения Сургута в течение десяти дней со дня получения копии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«Копия верна»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42rplc-6">
    <w:name w:val="cat-UserDefined grp-42 rplc-6"/>
    <w:basedOn w:val="DefaultParagraphFont"/>
  </w:style>
  <w:style w:type="character" w:customStyle="1" w:styleId="cat-UserDefinedgrp-43rplc-16">
    <w:name w:val="cat-UserDefined grp-43 rplc-16"/>
    <w:basedOn w:val="DefaultParagraphFont"/>
  </w:style>
  <w:style w:type="character" w:customStyle="1" w:styleId="cat-UserDefinedgrp-44rplc-18">
    <w:name w:val="cat-UserDefined grp-44 rplc-18"/>
    <w:basedOn w:val="DefaultParagraphFont"/>
  </w:style>
  <w:style w:type="character" w:customStyle="1" w:styleId="cat-UserDefinedgrp-45rplc-22">
    <w:name w:val="cat-UserDefined grp-45 rplc-22"/>
    <w:basedOn w:val="DefaultParagraphFont"/>
  </w:style>
  <w:style w:type="character" w:customStyle="1" w:styleId="cat-UserDefinedgrp-44rplc-35">
    <w:name w:val="cat-UserDefined grp-44 rplc-35"/>
    <w:basedOn w:val="DefaultParagraphFont"/>
  </w:style>
  <w:style w:type="character" w:customStyle="1" w:styleId="cat-Sumgrp-27rplc-40">
    <w:name w:val="cat-Sum grp-27 rplc-4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